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after="80" w:before="0" w:line="276" w:lineRule="auto"/>
        <w:jc w:val="center"/>
      </w:pPr>
      <w:r>
        <w:rPr>
          <w:rFonts w:ascii="TH Sarabun New" w:hAnsi="TH Sarabun New" w:cs="TH Sarabun New"/>
          <w:b/>
          <w:i w:val="0"/>
          <w:color w:val="1B3A5C"/>
          <w:sz w:val="60"/>
          <w:szCs w:val="60"/>
        </w:rPr>
        <w:t>รายงานทางวิชาการ</w:t>
      </w:r>
    </w:p>
    <w:p>
      <w:pPr>
        <w:spacing w:after="40"/>
        <w:pBdr>
          <w:bottom w:val="single" w:sz="8" w:space="1" w:color="1B3A5C"/>
        </w:pBdr>
      </w:pPr>
    </w:p>
    <w:p>
      <w:pPr>
        <w:spacing w:after="40" w:before="0" w:line="264" w:lineRule="auto"/>
        <w:jc w:val="center"/>
      </w:pPr>
      <w:r>
        <w:rPr>
          <w:rFonts w:ascii="TH Sarabun New" w:hAnsi="TH Sarabun New" w:cs="TH Sarabun New"/>
          <w:b/>
          <w:i w:val="0"/>
          <w:color w:val="1A1A1A"/>
          <w:sz w:val="48"/>
          <w:szCs w:val="48"/>
        </w:rPr>
        <w:t>การประยุกต์ใช้เครื่องมือปัญญาประดิษฐ์ (Artificial Intelligence)</w:t>
      </w:r>
    </w:p>
    <w:p>
      <w:pPr>
        <w:spacing w:after="200" w:before="0" w:line="264" w:lineRule="auto"/>
        <w:jc w:val="center"/>
      </w:pPr>
      <w:r>
        <w:rPr>
          <w:rFonts w:ascii="TH Sarabun New" w:hAnsi="TH Sarabun New" w:cs="TH Sarabun New"/>
          <w:b/>
          <w:i w:val="0"/>
          <w:color w:val="1A1A1A"/>
          <w:sz w:val="48"/>
          <w:szCs w:val="48"/>
        </w:rPr>
        <w:t>เพื่อเพิ่มประสิทธิภาพการปฏิบัติงานทางหลวง</w:t>
      </w:r>
    </w:p>
    <w:p>
      <w:pPr>
        <w:spacing w:after="80" w:before="0" w:line="276" w:lineRule="auto"/>
        <w:jc w:val="center"/>
      </w:pPr>
      <w:r>
        <w:rPr>
          <w:rFonts w:ascii="TH Sarabun New" w:hAnsi="TH Sarabun New" w:cs="TH Sarabun New"/>
          <w:b w:val="0"/>
          <w:i w:val="0"/>
          <w:color w:val="555555"/>
          <w:sz w:val="36"/>
          <w:szCs w:val="36"/>
        </w:rPr>
        <w:t>กรณีศึกษาการเริ่มต้นใช้งานจริงในระดับแขวงทางหลวง “เริ่มจาก 0”</w:t>
      </w:r>
    </w:p>
    <w:p>
      <w:pPr>
        <w:spacing w:after="800" w:before="0" w:line="276" w:lineRule="auto"/>
        <w:jc w:val="center"/>
      </w:pPr>
      <w:r>
        <w:rPr>
          <w:rFonts w:ascii="TH Sarabun New" w:hAnsi="TH Sarabun New" w:cs="TH Sarabun New"/>
          <w:b w:val="0"/>
          <w:i/>
          <w:color w:val="B8860B"/>
          <w:sz w:val="34"/>
          <w:szCs w:val="34"/>
        </w:rPr>
        <w:t>(ภายใต้แนวคิดการบรรยายสร้างแรงบันดาลใจ “ขอแค่กล้าเริ่ม”)</w:t>
      </w:r>
    </w:p>
    <w:p/>
    <w:p/>
    <w:p/>
    <w:p/>
    <w:p/>
    <w:p>
      <w:pPr>
        <w:spacing w:after="40" w:before="0" w:line="276" w:lineRule="auto"/>
        <w:jc w:val="center"/>
      </w:pPr>
      <w:r>
        <w:rPr>
          <w:rFonts w:ascii="TH Sarabun New" w:hAnsi="TH Sarabun New" w:cs="TH Sarabun New"/>
          <w:b w:val="0"/>
          <w:i w:val="0"/>
          <w:color w:val="555555"/>
          <w:sz w:val="32"/>
          <w:szCs w:val="32"/>
        </w:rPr>
        <w:t>จัดทำเพื่อประกอบการบรรยายและส่งเสริมการนำเทคโนโลยีปัญญาประดิษฐ์</w:t>
      </w:r>
    </w:p>
    <w:p>
      <w:pPr>
        <w:spacing w:after="40" w:before="0" w:line="276" w:lineRule="auto"/>
        <w:jc w:val="center"/>
      </w:pPr>
      <w:r>
        <w:rPr>
          <w:rFonts w:ascii="TH Sarabun New" w:hAnsi="TH Sarabun New" w:cs="TH Sarabun New"/>
          <w:b w:val="0"/>
          <w:i w:val="0"/>
          <w:color w:val="555555"/>
          <w:sz w:val="32"/>
          <w:szCs w:val="32"/>
        </w:rPr>
        <w:t>ไปประยุกต์ใช้ในงานของผู้ปฏิบัติงานแขวงทางหลวง</w:t>
      </w:r>
    </w:p>
    <w:p>
      <w:pPr>
        <w:spacing w:after="120" w:before="360" w:line="276" w:lineRule="auto"/>
        <w:jc w:val="center"/>
      </w:pPr>
      <w:r>
        <w:rPr>
          <w:rFonts w:ascii="TH Sarabun New" w:hAnsi="TH Sarabun New" w:cs="TH Sarabun New"/>
          <w:b/>
          <w:i w:val="0"/>
          <w:color w:val="1A1A1A"/>
          <w:sz w:val="34"/>
          <w:szCs w:val="34"/>
        </w:rPr>
        <w:t>มิถุนายน พ.ศ. 2569</w:t>
      </w:r>
    </w:p>
    <w:p>
      <w:r>
        <w:br w:type="page"/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4"/>
          <w:szCs w:val="44"/>
        </w:rPr>
        <w:t>บทคัดย่อ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รายงานฉบับนี้นำเสนอแนวทางและกรณีศึกษาการนำเครื่องมือปัญญาประดิษฐ์ (Artificial Intelligence: AI) โดยเฉพาะกลุ่มโมเดลภาษาขนาดใหญ่ (Large Language Models: LLM) มาประยุกต์ใช้เพื่อเพิ่มประสิทธิภาพการปฏิบัติงานของแขวงทางหลวง ครอบคลุม 4 สายงานหลัก ได้แก่ งานสำรวจจราจร งานประมาณราคา งานบำรุงทาง และงานออกแบบทางหลวง โดยมีหลักการสำคัญคือการ “สั่งงานด้วยภาษาธรรมชาติ” (Natural Language) ซึ่งทำให้ผู้ปฏิบัติงาน ที่ไม่มีพื้นฐานด้านการเขียนโปรแกรมสามารถเริ่มต้นใช้งานได้ทันที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ผลการทดลองใช้งานจริงพบว่า AI ช่วยลดระยะเวลาการทำงานประจำที่เคยใช้เวลาหลายชั่วโมง ให้เหลือเพียงไม่กี่นาที ช่วยลดภาระงานเอกสาร และเพิ่มเวลาให้บุคลากรได้ทุ่มเทกับงานที่ต้องใช้ วิจารณญาณและการดูแลประชาชนมากขึ้น ทั้งนี้ รายงานได้เสนอข้อควรระวังด้านการคุ้มครองข้อมูล ส่วนบุคคล (PDPA) ความลับทางราชการ และหลักการให้มนุษย์เป็นผู้ตัดสินใจขั้นสุดท้าย (Human-in-the-loop) พร้อมแนวทางการนำร่องใช้งานแบบเป็นขั้นตอน 30–60–90 วัน</w:t>
      </w:r>
    </w:p>
    <w:p>
      <w:pPr>
        <w:spacing w:after="120" w:before="160" w:line="276" w:lineRule="auto"/>
        <w:jc w:val="both"/>
      </w:pPr>
      <w:r>
        <w:rPr>
          <w:rFonts w:ascii="TH Sarabun New" w:hAnsi="TH Sarabun New" w:cs="TH Sarabun New"/>
          <w:b w:val="0"/>
          <w:i/>
          <w:color w:val="555555"/>
          <w:sz w:val="30"/>
          <w:szCs w:val="30"/>
        </w:rPr>
        <w:t>คำสำคัญ: ปัญญาประดิษฐ์, โมเดลภาษาขนาดใหญ่, งานทางหลวง, การเปลี่ยนผ่านสู่ดิจิทัล, ประสิทธิภาพการทำงานภาครัฐ</w:t>
      </w:r>
    </w:p>
    <w:p>
      <w:r>
        <w:br w:type="page"/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4"/>
          <w:szCs w:val="44"/>
        </w:rPr>
        <w:t>สารบัญ</w:t>
      </w:r>
    </w:p>
    <w:p>
      <w:r>
        <w:rPr>
          <w:rFonts w:ascii="TH Sarabun New" w:hAnsi="TH Sarabun New" w:cs="TH Sarabun New"/>
          <w:b w:val="0"/>
          <w:i w:val="0"/>
          <w:color w:val="555555"/>
          <w:sz w:val="30"/>
          <w:szCs w:val="30"/>
        </w:rPr>
        <w:fldChar w:fldCharType="begin"/>
        <w:instrText xml:space="preserve">TOC \o "1-2" \h \z \u</w:instrText>
        <w:fldChar w:fldCharType="separate"/>
        <w:t>  (คลิกขวา → Update Field เพื่อสร้างสารบัญอัตโนมัติ)</w:t>
        <w:fldChar w:fldCharType="end"/>
      </w:r>
    </w:p>
    <w:p>
      <w:r>
        <w:br w:type="page"/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1.  บทนำ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1.1  ความเป็นมาและความสำคัญ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ในปัจจุบันเทคโนโลยีปัญญาประดิษฐ์ได้พัฒนาก้าวหน้าอย่างรวดเร็ว โดยเฉพาะโมเดลภาษาขนาดใหญ่ ที่สามารถเข้าใจและตอบสนองคำสั่งภาษาไทยได้อย่างเป็นธรรมชาติ ทำให้เทคโนโลยีที่เคยจำกัด อยู่เฉพาะผู้เชี่ยวชาญด้านคอมพิวเตอร์ กลายเป็นเครื่องมือที่ผู้ปฏิบัติงานทั่วไปสามารถเข้าถึงและ ใช้ประโยชน์ได้ การปฏิบัติงานของแขวงทางหลวงประกอบด้วยงานที่มีลักษณะทำซ้ำ ใช้เวลามาก และ ต้องอาศัยข้อมูลจำนวนมาก เช่น การสำรวจและนับปริมาณจราจร การประมาณราคา การจัดทำเอกสารราชการ และการคำนวณออกแบบ ซึ่งล้วนเป็นงานที่ AI สามารถเข้ามาช่วยลดภาระและเพิ่มความรวดเร็วได้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อย่างไรก็ตาม อุปสรรคสำคัญของการนำ AI มาใช้ในระดับปฏิบัติการ มิใช่เรื่องเทคโนโลยี แต่เป็นเรื่อง “ความกล้าที่จะเริ่มต้น” ของบุคลากร รายงานฉบับนี้จึงมุ่งนำเสนอทั้งหลักการ เชิงวิชาการและกรณีศึกษาที่เกิดขึ้นจริง เพื่อแสดงให้เห็นว่าการเริ่มต้นใช้งาน AI สามารถทำได้ แม้ผู้ใช้จะไม่มีพื้นฐานทางเทคนิคมาก่อน (เริ่มจาก 0)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1.2  วัตถุประสงค์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เพื่อสร้างความเข้าใจพื้นฐานเกี่ยวกับปัญญาประดิษฐ์และหลักการใช้งานสำหรับผู้ปฏิบัติงานทางหลวง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เพื่อนำเสนอกรณีศึกษาการประยุกต์ใช้ AI จริงใน 4 สายงานหลักของแขวงทางหลวง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เพื่อเสนอแนวทางการนำร่องใช้งานอย่างเป็นขั้นตอน พร้อมข้อควรระวังในการใช้งานอย่างรับผิดชอบ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เพื่อกระตุ้นและสร้างแรงบันดาลใจให้บุคลากรกล้าเริ่มต้นทดลองใช้เครื่องมือ AI ในงานประจำ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1.3  ขอบเขตของรายงาน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รายงานฉบับนี้ครอบคลุมการประยุกต์ใช้เครื่องมือ AI ประเภทโมเดลภาษาและเครื่องมือสร้างเว็บแอป ในงานที่เกี่ยวข้องกับภารกิจของแขวงทางหลวงโดยตรง ได้แก่ งานสำรวจจราจร งานประมาณราคา งานบำรุงทาง และงานออกแบบ โดยอ้างอิงจากเครื่องมือที่ผู้ปฏิบัติงานได้พัฒนาและใช้งานจริง ทั้งนี้ไม่ครอบคลุมการพัฒนาโมเดล AI ขึ้นใหม่ หรือการจัดซื้อจัดจ้างระบบขนาดใหญ่</w:t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2.  แนวคิดและทฤษฎีที่เกี่ยวข้อง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2.1  ปัญญาประดิษฐ์และโมเดลภาษาขนาดใหญ่ (LLM)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ปัญญาประดิษฐ์ หมายถึง ระบบคอมพิวเตอร์ที่สามารถทำงานซึ่งโดยปกติต้องอาศัยสติปัญญาของมนุษย์ เช่น การเข้าใจภาษา การสรุปความ การวิเคราะห์ และการสร้างสรรค์ผลงาน โมเดลภาษาขนาดใหญ่ (LLM) เป็น AI ประเภทหนึ่งที่ผ่านการเรียนรู้จากข้อความจำนวนมหาศาล จึงสามารถเข้าใจคำสั่งและตอบโต้ เป็นภาษาธรรมชาติได้ เปรียบได้กับ “เครื่องคิดเลขที่ฉลาดขึ้น” ที่รับคำสั่งเป็นภาษาคนแทนตัวเลข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2.2  หลักการสั่งงานด้วยภาษาธรรมชาติ (Prompting)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จุดเปลี่ยนสำคัญที่ทำให้ AI เข้าถึงได้ง่ายคือ ผู้ใช้สามารถ “พิมพ์สั่งงานด้วยภาษาพูด” โดยไม่ต้อง เขียนโปรแกรมแม้แต่บรรทัดเดียว เปรียบเสมือนการสั่งงานผู้ช่วยที่มีความสามารถสูงและไม่เหน็ดเหนื่อย ตารางต่อไปนี้แสดงตัวอย่างความสัมพันธ์ระหว่างคำสั่งและผลลัพธ์ที่ได้รับ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94"/>
        <w:gridCol w:w="4394"/>
      </w:tblGrid>
      <w:tr>
        <w:tc>
          <w:tcPr>
            <w:tcW w:type="dxa" w:w="4252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สั่งด้วยภาษาพูด (Input)</w:t>
            </w:r>
          </w:p>
        </w:tc>
        <w:tc>
          <w:tcPr>
            <w:tcW w:type="dxa" w:w="4535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ผลลัพธ์ที่ได้รับ (Output)</w:t>
            </w:r>
          </w:p>
        </w:tc>
      </w:tr>
      <w:tr>
        <w:tc>
          <w:tcPr>
            <w:tcW w:type="dxa" w:w="4252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“ช่วยสรุปไฟล์นี้ให้หน่อย” (แนบ PDF 50 หน้า)</w:t>
            </w:r>
          </w:p>
        </w:tc>
        <w:tc>
          <w:tcPr>
            <w:tcW w:type="dxa" w:w="453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สรุปประเด็นสำคัญ 5 ข้อ ภายในเวลาไม่กี่วินาที</w:t>
            </w:r>
          </w:p>
        </w:tc>
      </w:tr>
      <w:tr>
        <w:tc>
          <w:tcPr>
            <w:tcW w:type="dxa" w:w="4252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“ทำตารางราคาวัสดุให้หน่อย”</w:t>
            </w:r>
          </w:p>
        </w:tc>
        <w:tc>
          <w:tcPr>
            <w:tcW w:type="dxa" w:w="453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ตารางพร้อมสูตรคำนวณที่ใช้งานได้ทันที</w:t>
            </w:r>
          </w:p>
        </w:tc>
      </w:tr>
      <w:tr>
        <w:tc>
          <w:tcPr>
            <w:tcW w:type="dxa" w:w="4252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“ร่างหนังสือราชการเรื่องนี้ให้หน่อย”</w:t>
            </w:r>
          </w:p>
        </w:tc>
        <w:tc>
          <w:tcPr>
            <w:tcW w:type="dxa" w:w="453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ร่างหนังสือที่จัดรูปแบบเรียบร้อย พร้อมให้ตรวจแก้</w:t>
            </w:r>
          </w:p>
        </w:tc>
      </w:tr>
      <w:tr>
        <w:tc>
          <w:tcPr>
            <w:tcW w:type="dxa" w:w="4252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“เขียนเว็บนับรถจากกล้องวงจรปิดให้หน่อย”</w:t>
            </w:r>
          </w:p>
        </w:tc>
        <w:tc>
          <w:tcPr>
            <w:tcW w:type="dxa" w:w="453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30"/>
                <w:szCs w:val="30"/>
              </w:rPr>
              <w:t>เว็บแอปพลิเคชันที่ใช้งานได้จริง</w:t>
            </w:r>
          </w:p>
        </w:tc>
      </w:tr>
    </w:tbl>
    <w:p>
      <w:pPr>
        <w:spacing w:after="120" w:before="0" w:line="276" w:lineRule="auto"/>
        <w:jc w:val="both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2.3  อุปมา: ผู้จัดการกับลูกน้องมือทอง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เพื่อให้เห็นภาพชัดเจน อาจเปรียบผู้ปฏิบัติงานเป็น “ผู้จัดการ” และเปรียบ AI เป็น “ลูกน้องที่เก่งมาก” ซึ่งทำงานรวดเร็ว ขยัน และไม่เคยบ่น อย่างไรก็ตาม ลูกน้องที่เก่งเพียงใด ก็ทำงานได้ดีตามคุณภาพของ “คำสั่ง” ที่ได้รับ ดังนั้นหากผู้จัดการสั่งงานอย่างถูกต้อง ชัดเจน และครบถ้วน กล่าวคือ ระบุเป้าหมาย บริบทของงาน ขอบเขต และรูปแบบผลลัพธ์ที่ต้องการ ก็จะได้รับ ผลงานที่ตรงตามที่ต้องการ ในทางกลับกัน หากสั่งงานอย่างคลุมเครือ ผลลัพธ์ที่ได้ก็จะกว้าง และไม่ตรงเป้าหมาย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ด้วยเหตุนี้ ทักษะการ “สั่งงานให้เป็น” หรือการกำหนดคำสั่ง (Prompt) ที่ดี จึงเป็นหัวใจสำคัญ ที่ทำให้ผู้ใช้ได้รับประโยชน์สูงสุดจาก AI ดังตัวอย่างเปรียบเทียบต่อไปนี้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929"/>
        <w:gridCol w:w="2929"/>
        <w:gridCol w:w="2929"/>
      </w:tblGrid>
      <w:tr>
        <w:tc>
          <w:tcPr>
            <w:tcW w:type="dxa" w:w="2154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ลักษณะคำสั่ง</w:t>
            </w:r>
          </w:p>
        </w:tc>
        <w:tc>
          <w:tcPr>
            <w:tcW w:type="dxa" w:w="3515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ตัวอย่างคำสั่ง</w:t>
            </w:r>
          </w:p>
        </w:tc>
        <w:tc>
          <w:tcPr>
            <w:tcW w:type="dxa" w:w="3118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ผลลัพธ์ที่ได้</w:t>
            </w:r>
          </w:p>
        </w:tc>
      </w:tr>
      <w:tr>
        <w:tc>
          <w:tcPr>
            <w:tcW w:type="dxa" w:w="2154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สั่งคลุมเครือ</w:t>
            </w:r>
          </w:p>
        </w:tc>
        <w:tc>
          <w:tcPr>
            <w:tcW w:type="dxa" w:w="351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28"/>
                <w:szCs w:val="28"/>
              </w:rPr>
              <w:t>“ทำรายงานให้หน่อย”</w:t>
            </w:r>
          </w:p>
        </w:tc>
        <w:tc>
          <w:tcPr>
            <w:tcW w:type="dxa" w:w="311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28"/>
                <w:szCs w:val="28"/>
              </w:rPr>
              <w:t>ได้งานกว้าง ๆ ไม่ตรงเป้าหมาย</w:t>
            </w:r>
          </w:p>
        </w:tc>
      </w:tr>
      <w:tr>
        <w:tc>
          <w:tcPr>
            <w:tcW w:type="dxa" w:w="2154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สั่งชัดเจน ครบถ้วน</w:t>
            </w:r>
          </w:p>
        </w:tc>
        <w:tc>
          <w:tcPr>
            <w:tcW w:type="dxa" w:w="351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28"/>
                <w:szCs w:val="28"/>
              </w:rPr>
              <w:t>“สรุปรายงานจราจรถนนสาย 1 เดือนนี้ เป็น 5 ข้อ เน้นจุดเสี่ยง”</w:t>
            </w:r>
          </w:p>
        </w:tc>
        <w:tc>
          <w:tcPr>
            <w:tcW w:type="dxa" w:w="311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1A1A1A"/>
                <w:sz w:val="28"/>
                <w:szCs w:val="28"/>
              </w:rPr>
              <w:t>ได้งานตรงเป้าหมาย พร้อมนำไปใช้</w:t>
            </w:r>
          </w:p>
        </w:tc>
      </w:tr>
    </w:tbl>
    <w:p>
      <w:pPr>
        <w:spacing w:after="120" w:before="0" w:line="276" w:lineRule="auto"/>
        <w:jc w:val="both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2.4  แนวคิดการให้มนุษย์เป็นศูนย์กลาง (Human-in-the-loop)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แม้ AI จะมีความสามารถสูง แต่ยังคงมีข้อจำกัดด้านความถูกต้องและการขาดความเข้าใจบริบทหน้างาน หลักการ Human-in-the-loop จึงกำหนดให้มนุษย์เป็นผู้ตรวจสอบและตัดสินใจขั้นสุดท้ายเสมอ โดย AI ทำหน้าที่เป็นเพียงผู้ช่วยที่เพิ่มความเร็วและลดภาระงาน มิใช่ผู้ตัดสินใจแทน ดังคำกล่าวที่ว่า “AI ไม่มีหัวใจ แต่คุณมี” ความรับผิดชอบ การใช้วิจารณญาณ และความเข้าใจประชาชน ยังคงเป็นบทบาทของผู้ปฏิบัติงานเสมอ</w:t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3.  การประยุกต์ใช้ในงานทางหลวง (กรณีศึกษาจริง)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เครื่องมือในหัวข้อนี้เป็นผลงานที่ผู้ปฏิบัติงานกรมทางหลวงพัฒนาขึ้นและใช้งานจริง โดยอาศัย การสั่งงาน AI ด้วยภาษาไทย แบ่งตามสายงานได้ดังนี้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3.1  งานสำรวจจราจร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Traffic Vision X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ระบบนับและจำแนกประเภทยานพาหนะจากภาพกล้องวงจรปิด (CCTV) ช่วยลดการใช้กำลังคนในการนับรถด้วยมือ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TTVE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เครื่องมือประมาณการปริมาณจราจร สำหรับงานวิเคราะห์และวางแผนการจราจร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ระบบนับปริมาณจราจร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และ </w:t>
      </w: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TomTom Extractor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เครื่องมือสนับสนุนการเก็บและสกัดข้อมูลจราจร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3.2  งานประมาณราคาและงานบำรุงทาง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Easy BOQ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เครื่องมือช่วยจัดทำบัญชีแสดงปริมาณงานและราคา (Bill of Quantities) ให้รวดเร็วและแม่นยำ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Escalation Factor K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เครื่องมือคำนวณค่า K สำหรับการปรับราคาตามสัญญา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PriceLive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เครื่องมือสืบค้นและติดตามราคาวัสดุ/ค่าแรงที่เป็นปัจจุบัน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3.3  งานออกแบบทางหลวง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Eccentric Footing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โปรแกรมช่วยออกแบบฐานรากรับแรงเยื้องศูนย์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Concrete Design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เครื่องมือช่วยออกแบบโครงสร้างคอนกรีต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คลังแบบมาตรฐานกรมทางหลวง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ระบบรวบรวมและสืบค้นแบบมาตรฐานเพื่อความสะดวกในการอ้างอิง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3.4  งานเอกสารและงานธุรการ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การสรุปรายงานและเอกสารจำนวนมากให้เหลือประเด็นสำคัญภายในเวลาไม่กี่วินาที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การร่างหนังสือราชการ บันทึกข้อความ และเอกสารประกอบการประชุม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การจัดทำตารางข้อมูลพร้อมสูตรคำนวณ และการแปลงข้อมูลให้อยู่ในรูปแบบที่ใช้งานได้ทันที</w:t>
      </w:r>
    </w:p>
    <w:p>
      <w:pPr>
        <w:spacing w:after="120" w:before="0" w:line="276" w:lineRule="auto"/>
        <w:jc w:val="both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ตารางสรุปเครื่องมือและช่องทางการเข้าถึง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929"/>
        <w:gridCol w:w="2929"/>
        <w:gridCol w:w="2929"/>
      </w:tblGrid>
      <w:tr>
        <w:tc>
          <w:tcPr>
            <w:tcW w:type="dxa" w:w="2721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เครื่องมือ</w:t>
            </w:r>
          </w:p>
        </w:tc>
        <w:tc>
          <w:tcPr>
            <w:tcW w:type="dxa" w:w="2041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สายงาน</w:t>
            </w:r>
          </w:p>
        </w:tc>
        <w:tc>
          <w:tcPr>
            <w:tcW w:type="dxa" w:w="4025"/>
            <w:shd w:val="clear" w:fill="1B3A5C"/>
          </w:tcPr>
          <w:p>
            <w:pPr>
              <w:spacing w:after="40" w:before="40"/>
              <w:jc w:val="center"/>
            </w:pPr>
            <w:r/>
            <w:r>
              <w:rPr>
                <w:rFonts w:ascii="TH Sarabun New" w:hAnsi="TH Sarabun New" w:cs="TH Sarabun New"/>
                <w:b/>
                <w:i w:val="0"/>
                <w:color w:val="FFFFFF"/>
                <w:sz w:val="30"/>
                <w:szCs w:val="30"/>
              </w:rPr>
              <w:t>ลิงก์การเข้าถึง</w:t>
            </w:r>
          </w:p>
        </w:tc>
      </w:tr>
      <w:tr>
        <w:tc>
          <w:tcPr>
            <w:tcW w:type="dxa" w:w="272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Traffic Vision X</w:t>
            </w:r>
          </w:p>
        </w:tc>
        <w:tc>
          <w:tcPr>
            <w:tcW w:type="dxa" w:w="204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สำรวจจราจร</w:t>
            </w:r>
          </w:p>
        </w:tc>
        <w:tc>
          <w:tcPr>
            <w:tcW w:type="dxa" w:w="4025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traffic-vision-x.pages.dev</w:t>
            </w:r>
          </w:p>
        </w:tc>
      </w:tr>
      <w:tr>
        <w:tc>
          <w:tcPr>
            <w:tcW w:type="dxa" w:w="272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TTVE ประมาณปริมาณจราจร</w:t>
            </w:r>
          </w:p>
        </w:tc>
        <w:tc>
          <w:tcPr>
            <w:tcW w:type="dxa" w:w="204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สำรวจจราจร</w:t>
            </w:r>
          </w:p>
        </w:tc>
        <w:tc>
          <w:tcPr>
            <w:tcW w:type="dxa" w:w="402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changkid-engapp.pages.dev/trafficdata/</w:t>
            </w:r>
          </w:p>
        </w:tc>
      </w:tr>
      <w:tr>
        <w:tc>
          <w:tcPr>
            <w:tcW w:type="dxa" w:w="272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Easy BOQ</w:t>
            </w:r>
          </w:p>
        </w:tc>
        <w:tc>
          <w:tcPr>
            <w:tcW w:type="dxa" w:w="204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ประมาณราคา</w:t>
            </w:r>
          </w:p>
        </w:tc>
        <w:tc>
          <w:tcPr>
            <w:tcW w:type="dxa" w:w="4025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changkid-engapp.pages.dev/EasyBOQ/</w:t>
            </w:r>
          </w:p>
        </w:tc>
      </w:tr>
      <w:tr>
        <w:tc>
          <w:tcPr>
            <w:tcW w:type="dxa" w:w="272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Escalation Factor K</w:t>
            </w:r>
          </w:p>
        </w:tc>
        <w:tc>
          <w:tcPr>
            <w:tcW w:type="dxa" w:w="204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ประมาณราคา/สัญญา</w:t>
            </w:r>
          </w:p>
        </w:tc>
        <w:tc>
          <w:tcPr>
            <w:tcW w:type="dxa" w:w="402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changkid-engapp.pages.dev/Escalation-factor-K/</w:t>
            </w:r>
          </w:p>
        </w:tc>
      </w:tr>
      <w:tr>
        <w:tc>
          <w:tcPr>
            <w:tcW w:type="dxa" w:w="272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PriceLive ราคาช่าง</w:t>
            </w:r>
          </w:p>
        </w:tc>
        <w:tc>
          <w:tcPr>
            <w:tcW w:type="dxa" w:w="2041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บำรุง/ประมาณราคา</w:t>
            </w:r>
          </w:p>
        </w:tc>
        <w:tc>
          <w:tcPr>
            <w:tcW w:type="dxa" w:w="4025"/>
            <w:shd w:val="clear" w:fill="EEF3F8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changkid-engapp.pages.dev/price-live/</w:t>
            </w:r>
          </w:p>
        </w:tc>
      </w:tr>
      <w:tr>
        <w:tc>
          <w:tcPr>
            <w:tcW w:type="dxa" w:w="272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/>
                <w:i w:val="0"/>
                <w:color w:val="1A1A1A"/>
                <w:sz w:val="28"/>
                <w:szCs w:val="28"/>
              </w:rPr>
              <w:t>Eccentric Footing</w:t>
            </w:r>
          </w:p>
        </w:tc>
        <w:tc>
          <w:tcPr>
            <w:tcW w:type="dxa" w:w="2041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555555"/>
                <w:sz w:val="28"/>
                <w:szCs w:val="28"/>
              </w:rPr>
              <w:t>ออกแบบ</w:t>
            </w:r>
          </w:p>
        </w:tc>
        <w:tc>
          <w:tcPr>
            <w:tcW w:type="dxa" w:w="4025"/>
          </w:tcPr>
          <w:p>
            <w:pPr>
              <w:spacing w:after="40" w:before="40"/>
              <w:jc w:val="left"/>
            </w:pPr>
            <w:r/>
            <w:r>
              <w:rPr>
                <w:rFonts w:ascii="TH Sarabun New" w:hAnsi="TH Sarabun New" w:cs="TH Sarabun New"/>
                <w:b w:val="0"/>
                <w:i w:val="0"/>
                <w:color w:val="2E5586"/>
                <w:sz w:val="26"/>
                <w:szCs w:val="26"/>
              </w:rPr>
              <w:t>eccentric-footing.pages.dev</w:t>
            </w:r>
          </w:p>
        </w:tc>
      </w:tr>
    </w:tbl>
    <w:p>
      <w:pPr>
        <w:spacing w:after="120" w:before="0" w:line="276" w:lineRule="auto"/>
        <w:jc w:val="both"/>
      </w:pP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4.  ผลที่ได้รับและประโยชน์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4.1  ประโยชน์เชิงปริมาณ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จากการใช้งานจริง พบว่างานบางประเภทที่เคยใช้เวลาทั้งช่วงบ่าย (ประมาณครึ่งวัน) สามารถ ดำเนินการเสร็จได้ภายในเวลาประมาณ 5 นาที คิดเป็นการลดเวลาทำงานลงอย่างมีนัยสำคัญ ส่งผลให้บุคลากรสามารถจัดสรรเวลาไปทำงานที่สร้างคุณค่าได้มากขึ้น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4.2  ประโยชน์เชิงคุณภาพ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คืนเวลาให้บุคลากร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ลดเวลางานประจำที่ทำซ้ำ เพื่อให้มีเวลาดูแลถนนและประชาชนมากขึ้น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ลดความผิดพลาด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ลดข้อผิดพลาดจากการคำนวณและการคัดลอกข้อมูลด้วยมือ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เข้าถึงง่าย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ผู้ที่ไม่มีพื้นฐานด้านเทคนิคก็สามารถเริ่มต้นใช้งานได้ทันที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ต่อยอดความรู้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ความรู้หน้างานของผู้ปฏิบัติงานเมื่อผสานกับความเร็วของ AI จะสร้างเครื่องมือ ที่ตอบโจทย์การทำงานจริง</w:t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5.  ข้อควรระวังและการใช้งานอย่างรับผิดชอบ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การคุ้มครองข้อมูลส่วนบุคคล (PDPA)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หลีกเลี่ยงการนำข้อมูลส่วนบุคคลของประชาชน เข้าสู่ระบบ AI สาธารณะโดยไม่จำเป็น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ความลับทางราชการ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ไม่นำข้อมูลลับหรือข้อมูลที่มีชั้นความลับเข้าสู่บริการภายนอก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การตรวจสอบความถูกต้อง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ผลลัพธ์จาก AI ต้องผ่านการตรวจสอบโดยผู้ปฏิบัติงานก่อนนำไปใช้เสมอ เนื่องจาก AI อาจให้ข้อมูลที่คลาดเคลื่อนได้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/>
          <w:i w:val="0"/>
          <w:color w:val="1A1A1A"/>
          <w:sz w:val="32"/>
          <w:szCs w:val="32"/>
        </w:rPr>
        <w:t>มนุษย์ตัดสินใจขั้นสุดท้าย (Human-in-the-loop)</w:t>
      </w: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 xml:space="preserve"> — AI เป็นเพียงผู้ช่วย การตัดสินใจและความรับผิดชอบยังคงเป็นของผู้ปฏิบัติงาน</w:t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6.  แนวทางการนำร่องใช้งาน (30–60–90 วัน)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ระยะที่ 1 (0–30 วัน): เริ่มต้นเล็ก ๆ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เลือกงานประจำที่ทำซ้ำบ่อย 1 งาน มาทดลองใช้ AI ช่วย เช่น การสรุปเอกสารหรือร่างหนังสือ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ฝึกการสั่งงานด้วยภาษาพูด และเรียนรู้จากการลองผิดลองถูก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ระยะที่ 2 (31–60 วัน): ขยายผล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นำเครื่องมือที่มีอยู่ เช่น Easy BOQ หรือ Traffic Vision X มาใช้ในงานจริง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แลกเปลี่ยนเรียนรู้ภายในทีม และรวบรวมปัญหา/ข้อเสนอแนะ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/>
          <w:b/>
          <w:i w:val="0"/>
          <w:color w:val="2E5586"/>
          <w:sz w:val="34"/>
          <w:szCs w:val="34"/>
        </w:rPr>
        <w:t>ระยะที่ 3 (61–90 วัน): ทำให้เป็นกิจวัตร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กำหนดแนวปฏิบัติการใช้ AI อย่างปลอดภัยภายในหน่วยงาน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ประเมินผลลัพธ์เชิงเวลาและคุณภาพ เพื่อขยายไปยังงานอื่น ๆ</w:t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7.  บทสรุปและข้อเสนอแนะ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ปัญญาประดิษฐ์ในปัจจุบันมิใช่เรื่องไกลตัวอีกต่อไป แต่เป็นเครื่องมือที่ผู้ปฏิบัติงานทางหลวง สามารถเริ่มต้นใช้งานได้ทันทีแม้ไม่มีพื้นฐาน กรณีศึกษาในรายงานฉบับนี้แสดงให้เห็นว่าการนำ AI มาช่วยงานสามารถลดเวลา ลดภาระ และเพิ่มประสิทธิภาพได้จริง โดยมีหัวใจสำคัญอยู่ที่ความกล้า ที่จะเริ่มต้น และการใช้งานอย่างรับผิดชอบภายใต้หลักการให้มนุษย์เป็นผู้ตัดสินใจขั้นสุดท้าย</w:t>
      </w:r>
    </w:p>
    <w:p>
      <w:pPr>
        <w:spacing w:after="120" w:before="0" w:line="276" w:lineRule="auto"/>
        <w:ind w:firstLine="567"/>
        <w:jc w:val="both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ข้อเสนอแนะ: หน่วยงานควรส่งเสริมวัฒนธรรมการทดลองใช้เทคโนโลยีโดยไม่กลัวความผิดพลาด สนับสนุนการแลกเปลี่ยนเรียนรู้ระหว่างผู้ปฏิบัติงาน และกำหนดแนวปฏิบัติด้านความปลอดภัยของข้อมูล ควบคู่ไปกับการนำร่องใช้งาน เพื่อให้การเปลี่ยนผ่านสู่การทำงานด้วย AI เป็นไปอย่างยั่งยืน</w:t>
      </w:r>
    </w:p>
    <w:p>
      <w:pPr>
        <w:spacing w:after="120" w:before="240" w:line="276" w:lineRule="auto"/>
        <w:jc w:val="center"/>
      </w:pPr>
      <w:r>
        <w:rPr>
          <w:rFonts w:ascii="TH Sarabun New" w:hAnsi="TH Sarabun New" w:cs="TH Sarabun New"/>
          <w:b/>
          <w:i/>
          <w:color w:val="B8860B"/>
          <w:sz w:val="34"/>
          <w:szCs w:val="34"/>
        </w:rPr>
        <w:t>“อนาคตเป็นของคนที่กล้าเริ่มก่อน — เริ่มที่เรา เริ่มวันนี้”</w:t>
      </w:r>
    </w:p>
    <w:p>
      <w:r>
        <w:br w:type="page"/>
      </w:r>
    </w:p>
    <w:p>
      <w:pPr>
        <w:pStyle w:val="Heading1"/>
        <w:keepNext/>
        <w:spacing w:before="320" w:after="120"/>
      </w:pPr>
      <w:r>
        <w:rPr>
          <w:rFonts w:ascii="TH Sarabun New" w:hAnsi="TH Sarabun New" w:cs="TH Sarabun New"/>
          <w:b/>
          <w:i w:val="0"/>
          <w:color w:val="1B3A5C"/>
          <w:sz w:val="40"/>
          <w:szCs w:val="40"/>
        </w:rPr>
        <w:t>ภาคผนวก: แหล่งอ้างอิงและช่องทางการเข้าถึง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สไลด์นำเสนอ (เว็บแอป): https://doh-showcase.pages.dev</w:t>
      </w:r>
    </w:p>
    <w:p>
      <w:pPr>
        <w:pStyle w:val="ListBullet"/>
        <w:spacing w:after="60" w:line="264" w:lineRule="auto"/>
        <w:ind w:left="567"/>
      </w:pPr>
      <w:r>
        <w:rPr>
          <w:rFonts w:ascii="TH Sarabun New" w:hAnsi="TH Sarabun New" w:cs="TH Sarabun New"/>
          <w:b w:val="0"/>
          <w:i w:val="0"/>
          <w:color w:val="1A1A1A"/>
          <w:sz w:val="32"/>
          <w:szCs w:val="32"/>
        </w:rPr>
        <w:t>เอกสารและสไลด์ฉบับนี้สามารถดาวน์โหลดได้จากปุ่ม “เอกสารประกอบการบรรยาย” บนหน้าเว็บแอป</w:t>
      </w:r>
    </w:p>
    <w:p>
      <w:pPr>
        <w:spacing w:after="120" w:before="160" w:line="276" w:lineRule="auto"/>
        <w:jc w:val="both"/>
      </w:pPr>
      <w:r>
        <w:rPr>
          <w:rFonts w:ascii="TH Sarabun New" w:hAnsi="TH Sarabun New" w:cs="TH Sarabun New"/>
          <w:b w:val="0"/>
          <w:i/>
          <w:color w:val="555555"/>
          <w:sz w:val="28"/>
          <w:szCs w:val="28"/>
        </w:rPr>
        <w:t>หมายเหตุ: เครื่องมือและตัวอย่างทั้งหมดเป็นผลงานของผู้ปฏิบัติงานกรมทางหลวง จัดทำขึ้นเพื่อประกอบการนำเสนอและส่งเสริมการเริ่มต้นใช้ AI อย่างสร้างสรรค์และรับผิดชอบ</w:t>
      </w:r>
    </w:p>
    <w:sectPr w:rsidR="00FC693F" w:rsidRPr="0006063C" w:rsidSect="00034616">
      <w:pgSz w:w="11906" w:h="16838"/>
      <w:pgMar w:top="1440" w:right="141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